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8129F" w14:textId="77777777" w:rsidR="00780290" w:rsidRDefault="00780290" w:rsidP="00780290">
      <w:pPr>
        <w:spacing w:after="0" w:line="240" w:lineRule="auto"/>
        <w:jc w:val="center"/>
      </w:pPr>
      <w:r>
        <w:t>Operator Quiz Corner</w:t>
      </w:r>
    </w:p>
    <w:p w14:paraId="6DFF35F3" w14:textId="4F4A10A7" w:rsidR="00780290" w:rsidRPr="00024D27" w:rsidRDefault="00567EC4" w:rsidP="00780290">
      <w:pPr>
        <w:spacing w:after="0" w:line="240" w:lineRule="auto"/>
        <w:jc w:val="center"/>
        <w:rPr>
          <w:b/>
          <w:bCs/>
        </w:rPr>
      </w:pPr>
      <w:r>
        <w:rPr>
          <w:b/>
          <w:bCs/>
        </w:rPr>
        <w:t xml:space="preserve"> </w:t>
      </w:r>
      <w:r w:rsidR="00347CE0">
        <w:rPr>
          <w:b/>
          <w:bCs/>
        </w:rPr>
        <w:t>What Exactly are “THMs” and “HAAs” ?</w:t>
      </w:r>
    </w:p>
    <w:p w14:paraId="72C5A376" w14:textId="77777777" w:rsidR="00780290" w:rsidRDefault="00780290" w:rsidP="00780290">
      <w:pPr>
        <w:spacing w:after="0" w:line="240" w:lineRule="auto"/>
        <w:jc w:val="center"/>
      </w:pPr>
      <w:r>
        <w:t>Dan Laprade, Training Coordinator</w:t>
      </w:r>
    </w:p>
    <w:p w14:paraId="231CCD32" w14:textId="77777777" w:rsidR="00780290" w:rsidRPr="00CF6AA8" w:rsidRDefault="00780290" w:rsidP="00780290">
      <w:pPr>
        <w:spacing w:after="0" w:line="240" w:lineRule="auto"/>
        <w:jc w:val="center"/>
        <w:rPr>
          <w:i/>
          <w:iCs/>
        </w:rPr>
      </w:pPr>
      <w:r>
        <w:t>(</w:t>
      </w:r>
      <w:hyperlink r:id="rId5" w:history="1">
        <w:r w:rsidRPr="005D2845">
          <w:rPr>
            <w:rStyle w:val="Hyperlink"/>
            <w:i/>
            <w:iCs/>
          </w:rPr>
          <w:t>dlaprade@masswaterworks.org</w:t>
        </w:r>
      </w:hyperlink>
      <w:r w:rsidRPr="00CF6AA8">
        <w:rPr>
          <w:i/>
          <w:iCs/>
        </w:rPr>
        <w:t xml:space="preserve">  413-883-7030</w:t>
      </w:r>
      <w:r>
        <w:rPr>
          <w:i/>
          <w:iCs/>
        </w:rPr>
        <w:t>)</w:t>
      </w:r>
    </w:p>
    <w:p w14:paraId="0ABAE0A0" w14:textId="77777777" w:rsidR="00780290" w:rsidRDefault="00780290" w:rsidP="00780290">
      <w:pPr>
        <w:spacing w:after="0" w:line="240" w:lineRule="auto"/>
      </w:pPr>
    </w:p>
    <w:p w14:paraId="14C9EC1C" w14:textId="75B44C3F" w:rsidR="00347CE0" w:rsidRDefault="00347CE0" w:rsidP="00402F42">
      <w:pPr>
        <w:spacing w:after="0" w:line="240" w:lineRule="auto"/>
      </w:pPr>
      <w:r>
        <w:t>Most people in the water industry have heard the acronyms “THM” and “HAA”, but not been entirely sure what they are.  Both are groups of regulated compounds</w:t>
      </w:r>
      <w:r w:rsidR="004D0EAD">
        <w:t xml:space="preserve"> </w:t>
      </w:r>
      <w:r>
        <w:t xml:space="preserve">that typically form when chlorine is added to water that contains organic compounds.  </w:t>
      </w:r>
      <w:r w:rsidR="0071024B">
        <w:t xml:space="preserve">THMs and HAAS </w:t>
      </w:r>
      <w:r>
        <w:t>are regulated as part of EPA’s compl</w:t>
      </w:r>
      <w:r w:rsidR="00BB7650">
        <w:t>icated</w:t>
      </w:r>
      <w:r>
        <w:t xml:space="preserve"> “Disinfect Byproduct Rule (DBPR).</w:t>
      </w:r>
    </w:p>
    <w:p w14:paraId="494DE666" w14:textId="77777777" w:rsidR="00BB7650" w:rsidRDefault="00BB7650" w:rsidP="00402F42">
      <w:pPr>
        <w:spacing w:after="0" w:line="240" w:lineRule="auto"/>
      </w:pPr>
    </w:p>
    <w:p w14:paraId="4B629EC3" w14:textId="763687A2" w:rsidR="00BB7650" w:rsidRDefault="00BB7650" w:rsidP="00402F42">
      <w:pPr>
        <w:spacing w:after="0" w:line="240" w:lineRule="auto"/>
      </w:pPr>
      <w:r>
        <w:t>While there are hundreds of organic compounds all around us</w:t>
      </w:r>
      <w:r w:rsidR="001A71C2">
        <w:t>,</w:t>
      </w:r>
      <w:r>
        <w:t xml:space="preserve"> those that react with chlorine </w:t>
      </w:r>
      <w:r w:rsidR="0014650E">
        <w:t xml:space="preserve">in water </w:t>
      </w:r>
      <w:r>
        <w:t>are</w:t>
      </w:r>
      <w:r w:rsidR="0071024B">
        <w:t xml:space="preserve"> commonly referred to as “natural organic compounds”.  This is a broad term used to describe compounds that form from the natural decay of plant and animal matter often found in surface water supplies.  </w:t>
      </w:r>
    </w:p>
    <w:p w14:paraId="6C916906" w14:textId="77777777" w:rsidR="00347CE0" w:rsidRDefault="00347CE0" w:rsidP="00402F42">
      <w:pPr>
        <w:spacing w:after="0" w:line="240" w:lineRule="auto"/>
      </w:pPr>
    </w:p>
    <w:p w14:paraId="1DE45372" w14:textId="77777777" w:rsidR="00347CE0" w:rsidRPr="00347CE0" w:rsidRDefault="00347CE0" w:rsidP="00402F42">
      <w:pPr>
        <w:spacing w:after="0" w:line="240" w:lineRule="auto"/>
        <w:rPr>
          <w:u w:val="single"/>
        </w:rPr>
      </w:pPr>
      <w:r w:rsidRPr="00347CE0">
        <w:rPr>
          <w:u w:val="single"/>
        </w:rPr>
        <w:t>THMs (Trihalomethanes)</w:t>
      </w:r>
    </w:p>
    <w:p w14:paraId="57878C23" w14:textId="71372372" w:rsidR="00347CE0" w:rsidRDefault="00A6434E" w:rsidP="008046DC">
      <w:pPr>
        <w:spacing w:after="0" w:line="240" w:lineRule="auto"/>
      </w:pPr>
      <w:r>
        <w:t>There are four chemical compounds in the Trihalomethane group:  Chloroform, Bromodichloromethane, Bromoform and Dibromochloromethane.  The Maximum Contaminant Level (MCL) is 80 ug/L and is determined by adding up the concentrations of all four compounds.  Surface water</w:t>
      </w:r>
      <w:r w:rsidR="0014650E">
        <w:t>s</w:t>
      </w:r>
      <w:r>
        <w:t xml:space="preserve"> that are chlorinated usually see chloroform as the dominant compound.</w:t>
      </w:r>
      <w:r w:rsidR="00742947">
        <w:t xml:space="preserve">  Water with an elevated pH and temperature promotes the formation of THMs as long as natural organic compounds and chlorine </w:t>
      </w:r>
      <w:r w:rsidR="0014650E">
        <w:t>are</w:t>
      </w:r>
      <w:r w:rsidR="00742947">
        <w:t xml:space="preserve"> present.  For this </w:t>
      </w:r>
      <w:r w:rsidR="00AC7C06">
        <w:t>reason,</w:t>
      </w:r>
      <w:r w:rsidR="00742947">
        <w:t xml:space="preserve"> water utilities often see the highlest levels of THMs at the locations furthest out in the distribution system.</w:t>
      </w:r>
    </w:p>
    <w:p w14:paraId="612D3053" w14:textId="77777777" w:rsidR="00347CE0" w:rsidRDefault="00347CE0" w:rsidP="008046DC">
      <w:pPr>
        <w:spacing w:after="0" w:line="240" w:lineRule="auto"/>
      </w:pPr>
    </w:p>
    <w:p w14:paraId="1F5DD64C" w14:textId="4795B4B5" w:rsidR="009073E5" w:rsidRPr="008576D0" w:rsidRDefault="00347CE0" w:rsidP="008046DC">
      <w:pPr>
        <w:spacing w:after="0" w:line="240" w:lineRule="auto"/>
        <w:rPr>
          <w:u w:val="single"/>
        </w:rPr>
      </w:pPr>
      <w:r>
        <w:rPr>
          <w:u w:val="single"/>
        </w:rPr>
        <w:t>HAAs (Haloacetic Acids)</w:t>
      </w:r>
    </w:p>
    <w:p w14:paraId="4C378C62" w14:textId="6B57C5B8" w:rsidR="00D844A1" w:rsidRDefault="00D844A1" w:rsidP="008046DC">
      <w:pPr>
        <w:spacing w:after="0" w:line="240" w:lineRule="auto"/>
      </w:pPr>
      <w:r>
        <w:t>There are five Haloacetic acid compounds:  monobromoacetic acid, dibromoacetic acid, monochloroacetic acid and dichloroacetic acid.  The MCL is 60 ug/L and like THMs compliance is determined by adding up the concentrations of all four compounds.</w:t>
      </w:r>
      <w:r w:rsidR="00906176">
        <w:t xml:space="preserve">  HAA formation is more influenced by warmer water than pH</w:t>
      </w:r>
      <w:r w:rsidR="0014650E">
        <w:t>,</w:t>
      </w:r>
      <w:r w:rsidR="00906176">
        <w:t xml:space="preserve"> and formation will occur as long as organic compounds and chlorine </w:t>
      </w:r>
      <w:r w:rsidR="00AC7C06">
        <w:t>are</w:t>
      </w:r>
      <w:r w:rsidR="00906176">
        <w:t xml:space="preserve"> present.  Unlike </w:t>
      </w:r>
      <w:r w:rsidR="00AC7C06">
        <w:t>THMs,</w:t>
      </w:r>
      <w:r w:rsidR="00906176">
        <w:t xml:space="preserve"> HAAs do tend to break down with water age so many utilities will see higher HAAs closer to the point of chlorine injection as </w:t>
      </w:r>
      <w:r w:rsidR="00AC7C06">
        <w:t>o</w:t>
      </w:r>
      <w:r w:rsidR="00906176">
        <w:t>pposed to the furthest points in the distribution system.</w:t>
      </w:r>
    </w:p>
    <w:p w14:paraId="633F96AA" w14:textId="77777777" w:rsidR="00921A3B" w:rsidRDefault="00921A3B" w:rsidP="008046DC">
      <w:pPr>
        <w:spacing w:after="0" w:line="240" w:lineRule="auto"/>
      </w:pPr>
    </w:p>
    <w:p w14:paraId="5692E96C" w14:textId="74E42F4B" w:rsidR="005448D7" w:rsidRDefault="005448D7" w:rsidP="008046DC">
      <w:pPr>
        <w:spacing w:after="0" w:line="240" w:lineRule="auto"/>
      </w:pPr>
      <w:r>
        <w:t>Elevated levels of THMs and HAAs have been shown to be a possible carcinogen</w:t>
      </w:r>
      <w:r w:rsidR="0063170B">
        <w:t xml:space="preserve">.  Pregnant women and infants are considered to be at a higher risk of developing health issues.  Compliance with the MCLs noted above is more complicated than most other regulated contaminants in that it is based on EPA’s “Locational Running Annual Average” (LRAA).  Samples are collected from a number of approved locations in the distribution system (systems using surface water sources collect samples quarterly) and the average value at each location is calculated and compared to the MCL.  The averaging is always done using the most recent 4 quarters of results thus the term “Running” annual average.  Any sample location that has a LRAA above the MCL is considered to </w:t>
      </w:r>
      <w:r w:rsidR="0014650E">
        <w:t>have</w:t>
      </w:r>
      <w:r w:rsidR="0063170B">
        <w:t xml:space="preserve"> a Tier II Violation </w:t>
      </w:r>
      <w:r w:rsidR="0014650E">
        <w:t>which</w:t>
      </w:r>
      <w:r w:rsidR="0063170B">
        <w:t xml:space="preserve"> requires public notification within 30 days.</w:t>
      </w:r>
    </w:p>
    <w:p w14:paraId="21AF89FA" w14:textId="77777777" w:rsidR="00813BAD" w:rsidRDefault="00813BAD" w:rsidP="008046DC">
      <w:pPr>
        <w:spacing w:after="0" w:line="240" w:lineRule="auto"/>
      </w:pPr>
    </w:p>
    <w:p w14:paraId="57CEB828" w14:textId="0B6FC75C" w:rsidR="00347CE0" w:rsidRDefault="00347CE0" w:rsidP="00347CE0">
      <w:pPr>
        <w:spacing w:after="0" w:line="240" w:lineRule="auto"/>
      </w:pPr>
      <w:r>
        <w:t xml:space="preserve">If you want to learn more about disinfection byproducts you can watch </w:t>
      </w:r>
      <w:r w:rsidR="0071024B">
        <w:t>an informative</w:t>
      </w:r>
      <w:r>
        <w:t xml:space="preserve"> 6 minute video</w:t>
      </w:r>
      <w:r w:rsidR="0071024B">
        <w:t xml:space="preserve"> on the WaterOperator.org website</w:t>
      </w:r>
      <w:r>
        <w:t>:</w:t>
      </w:r>
      <w:r w:rsidR="0071024B">
        <w:t xml:space="preserve"> </w:t>
      </w:r>
      <w:hyperlink r:id="rId6" w:history="1">
        <w:r w:rsidR="0071024B" w:rsidRPr="0094107D">
          <w:rPr>
            <w:rStyle w:val="Hyperlink"/>
          </w:rPr>
          <w:t>https://wateroperator.org/blog/featured-video-disinfection-byproducts-in-tap-water-5-things-to-know</w:t>
        </w:r>
      </w:hyperlink>
      <w:r w:rsidR="0071024B">
        <w:t xml:space="preserve"> </w:t>
      </w:r>
    </w:p>
    <w:p w14:paraId="2FAA126A" w14:textId="77777777" w:rsidR="00E917C3" w:rsidRDefault="00E917C3" w:rsidP="00E917C3">
      <w:pPr>
        <w:spacing w:after="0" w:line="240" w:lineRule="auto"/>
      </w:pPr>
    </w:p>
    <w:p w14:paraId="36B9DCAC" w14:textId="113E998D" w:rsidR="007646C7" w:rsidRPr="00B57AF9" w:rsidRDefault="00664406" w:rsidP="003322D4">
      <w:pPr>
        <w:pStyle w:val="ListParagraph"/>
        <w:numPr>
          <w:ilvl w:val="0"/>
          <w:numId w:val="1"/>
        </w:numPr>
        <w:spacing w:after="0" w:line="240" w:lineRule="auto"/>
      </w:pPr>
      <w:r>
        <w:lastRenderedPageBreak/>
        <w:t>Which of the following water treatment strategies would be likely to reduce the formation of THMs and HAAs?</w:t>
      </w:r>
    </w:p>
    <w:p w14:paraId="043DB18F" w14:textId="77D389A1" w:rsidR="007646C7" w:rsidRPr="00664406" w:rsidRDefault="00664406" w:rsidP="003322D4">
      <w:pPr>
        <w:pStyle w:val="ListParagraph"/>
        <w:numPr>
          <w:ilvl w:val="1"/>
          <w:numId w:val="1"/>
        </w:numPr>
        <w:spacing w:after="0" w:line="240" w:lineRule="auto"/>
      </w:pPr>
      <w:r w:rsidRPr="00664406">
        <w:t>Optimize the coagulation-flocculation-clarification processes</w:t>
      </w:r>
    </w:p>
    <w:p w14:paraId="18957703" w14:textId="5517A62E" w:rsidR="007646C7" w:rsidRPr="00664406" w:rsidRDefault="00664406" w:rsidP="003322D4">
      <w:pPr>
        <w:pStyle w:val="ListParagraph"/>
        <w:numPr>
          <w:ilvl w:val="1"/>
          <w:numId w:val="1"/>
        </w:numPr>
        <w:spacing w:after="0" w:line="240" w:lineRule="auto"/>
      </w:pPr>
      <w:r w:rsidRPr="00664406">
        <w:t>Use of granular activated carbon in the filter media</w:t>
      </w:r>
    </w:p>
    <w:p w14:paraId="30FCF558" w14:textId="033FD216" w:rsidR="007646C7" w:rsidRPr="00664406" w:rsidRDefault="00664406" w:rsidP="003322D4">
      <w:pPr>
        <w:pStyle w:val="ListParagraph"/>
        <w:numPr>
          <w:ilvl w:val="1"/>
          <w:numId w:val="1"/>
        </w:numPr>
        <w:spacing w:after="0" w:line="240" w:lineRule="auto"/>
      </w:pPr>
      <w:r w:rsidRPr="00664406">
        <w:t>Use ozone instead of chlorine for disinfection</w:t>
      </w:r>
    </w:p>
    <w:p w14:paraId="2FBC7504" w14:textId="54436387" w:rsidR="007646C7" w:rsidRPr="00664406" w:rsidRDefault="00822B44" w:rsidP="003322D4">
      <w:pPr>
        <w:pStyle w:val="ListParagraph"/>
        <w:numPr>
          <w:ilvl w:val="1"/>
          <w:numId w:val="1"/>
        </w:numPr>
        <w:spacing w:after="0" w:line="240" w:lineRule="auto"/>
      </w:pPr>
      <w:r w:rsidRPr="00664406">
        <w:rPr>
          <w:highlight w:val="yellow"/>
        </w:rPr>
        <w:t>a</w:t>
      </w:r>
      <w:r w:rsidR="00F633FF" w:rsidRPr="00664406">
        <w:rPr>
          <w:highlight w:val="yellow"/>
        </w:rPr>
        <w:t>ll of the above</w:t>
      </w:r>
    </w:p>
    <w:p w14:paraId="5FC4E691" w14:textId="1FCE2404" w:rsidR="007646C7" w:rsidRPr="008046DC" w:rsidRDefault="007646C7" w:rsidP="00E917C3">
      <w:pPr>
        <w:spacing w:after="0" w:line="240" w:lineRule="auto"/>
        <w:rPr>
          <w:highlight w:val="cyan"/>
        </w:rPr>
      </w:pPr>
    </w:p>
    <w:p w14:paraId="4248710A" w14:textId="5BA8BCB3" w:rsidR="007646C7" w:rsidRPr="00790037" w:rsidRDefault="00664406" w:rsidP="003322D4">
      <w:pPr>
        <w:pStyle w:val="ListParagraph"/>
        <w:numPr>
          <w:ilvl w:val="0"/>
          <w:numId w:val="1"/>
        </w:numPr>
        <w:spacing w:after="0" w:line="240" w:lineRule="auto"/>
      </w:pPr>
      <w:r>
        <w:t>Convert a</w:t>
      </w:r>
      <w:r w:rsidR="00791C7F">
        <w:t>n</w:t>
      </w:r>
      <w:r>
        <w:t xml:space="preserve"> HAA result of 0.058 mg/L to ug/L.</w:t>
      </w:r>
    </w:p>
    <w:p w14:paraId="4E844215" w14:textId="714E560D" w:rsidR="007646C7" w:rsidRPr="00664406" w:rsidRDefault="00664406" w:rsidP="003322D4">
      <w:pPr>
        <w:pStyle w:val="ListParagraph"/>
        <w:numPr>
          <w:ilvl w:val="1"/>
          <w:numId w:val="1"/>
        </w:numPr>
        <w:spacing w:after="0" w:line="240" w:lineRule="auto"/>
      </w:pPr>
      <w:r w:rsidRPr="00664406">
        <w:t>0.58 ug/L</w:t>
      </w:r>
    </w:p>
    <w:p w14:paraId="0B44D4BF" w14:textId="75324091" w:rsidR="007646C7" w:rsidRPr="00664406" w:rsidRDefault="00664406" w:rsidP="003322D4">
      <w:pPr>
        <w:pStyle w:val="ListParagraph"/>
        <w:numPr>
          <w:ilvl w:val="1"/>
          <w:numId w:val="1"/>
        </w:numPr>
        <w:spacing w:after="0" w:line="240" w:lineRule="auto"/>
      </w:pPr>
      <w:r w:rsidRPr="00664406">
        <w:t>5.8 ug/L</w:t>
      </w:r>
    </w:p>
    <w:p w14:paraId="1864DE07" w14:textId="5ABC2D1A" w:rsidR="00302357" w:rsidRPr="00664406" w:rsidRDefault="00664406" w:rsidP="003322D4">
      <w:pPr>
        <w:pStyle w:val="ListParagraph"/>
        <w:numPr>
          <w:ilvl w:val="1"/>
          <w:numId w:val="1"/>
        </w:numPr>
        <w:spacing w:after="0" w:line="240" w:lineRule="auto"/>
        <w:rPr>
          <w:highlight w:val="yellow"/>
        </w:rPr>
      </w:pPr>
      <w:r w:rsidRPr="00664406">
        <w:rPr>
          <w:highlight w:val="yellow"/>
        </w:rPr>
        <w:t>58.0 ug/L</w:t>
      </w:r>
    </w:p>
    <w:p w14:paraId="79934857" w14:textId="4BA20B62" w:rsidR="00302357" w:rsidRPr="00664406" w:rsidRDefault="00664406" w:rsidP="003322D4">
      <w:pPr>
        <w:pStyle w:val="ListParagraph"/>
        <w:numPr>
          <w:ilvl w:val="1"/>
          <w:numId w:val="1"/>
        </w:numPr>
        <w:spacing w:after="0" w:line="240" w:lineRule="auto"/>
      </w:pPr>
      <w:r w:rsidRPr="00664406">
        <w:t>580 ug/L</w:t>
      </w:r>
    </w:p>
    <w:p w14:paraId="64ED4C3B" w14:textId="77777777" w:rsidR="007646C7" w:rsidRPr="008046DC" w:rsidRDefault="007646C7" w:rsidP="00E917C3">
      <w:pPr>
        <w:spacing w:after="0" w:line="240" w:lineRule="auto"/>
        <w:rPr>
          <w:highlight w:val="cyan"/>
        </w:rPr>
      </w:pPr>
    </w:p>
    <w:p w14:paraId="02F49489" w14:textId="7A73E807" w:rsidR="00E917C3" w:rsidRPr="00FD17F5" w:rsidRDefault="00FD17F5" w:rsidP="003322D4">
      <w:pPr>
        <w:pStyle w:val="ListParagraph"/>
        <w:numPr>
          <w:ilvl w:val="0"/>
          <w:numId w:val="1"/>
        </w:numPr>
        <w:spacing w:after="0" w:line="240" w:lineRule="auto"/>
      </w:pPr>
      <w:r w:rsidRPr="00FD17F5">
        <w:t>True or False?  A utility that treats its well water with chlorine will likely have lower levels of THMs and HAAs than a utility that treats its reservoir water with chlorine.</w:t>
      </w:r>
    </w:p>
    <w:p w14:paraId="7BE0F975" w14:textId="51B4E244" w:rsidR="00E917C3" w:rsidRPr="00FD17F5" w:rsidRDefault="00FD17F5" w:rsidP="003322D4">
      <w:pPr>
        <w:pStyle w:val="ListParagraph"/>
        <w:numPr>
          <w:ilvl w:val="1"/>
          <w:numId w:val="1"/>
        </w:numPr>
        <w:spacing w:after="0" w:line="240" w:lineRule="auto"/>
      </w:pPr>
      <w:r w:rsidRPr="00FD17F5">
        <w:rPr>
          <w:highlight w:val="yellow"/>
        </w:rPr>
        <w:t>True</w:t>
      </w:r>
    </w:p>
    <w:p w14:paraId="72524BDE" w14:textId="235929F0" w:rsidR="003322D4" w:rsidRPr="00FD17F5" w:rsidRDefault="00FD17F5" w:rsidP="00FD17F5">
      <w:pPr>
        <w:pStyle w:val="ListParagraph"/>
        <w:numPr>
          <w:ilvl w:val="1"/>
          <w:numId w:val="1"/>
        </w:numPr>
        <w:spacing w:after="0" w:line="240" w:lineRule="auto"/>
      </w:pPr>
      <w:r w:rsidRPr="00FD17F5">
        <w:t>False</w:t>
      </w:r>
      <w:r w:rsidRPr="00FD17F5">
        <w:br/>
      </w:r>
    </w:p>
    <w:p w14:paraId="0AC53320" w14:textId="51784112" w:rsidR="003322D4" w:rsidRPr="00D87E30" w:rsidRDefault="00EB64CB" w:rsidP="00D87E30">
      <w:pPr>
        <w:pStyle w:val="ListParagraph"/>
        <w:numPr>
          <w:ilvl w:val="0"/>
          <w:numId w:val="1"/>
        </w:numPr>
        <w:spacing w:after="0" w:line="240" w:lineRule="auto"/>
      </w:pPr>
      <w:r>
        <w:t>Which of the following distribution system operating strategies would be considered a temporary method of reducing THM formation</w:t>
      </w:r>
      <w:r w:rsidR="007E35CD">
        <w:t>?</w:t>
      </w:r>
    </w:p>
    <w:p w14:paraId="1F777F80" w14:textId="7FB8E826" w:rsidR="003322D4" w:rsidRPr="0062746C" w:rsidRDefault="00EB64CB" w:rsidP="003322D4">
      <w:pPr>
        <w:pStyle w:val="ListParagraph"/>
        <w:numPr>
          <w:ilvl w:val="1"/>
          <w:numId w:val="1"/>
        </w:numPr>
        <w:spacing w:after="0" w:line="240" w:lineRule="auto"/>
      </w:pPr>
      <w:r>
        <w:t>Looping dead end lines.</w:t>
      </w:r>
    </w:p>
    <w:p w14:paraId="4433D513" w14:textId="192A2330" w:rsidR="003322D4" w:rsidRPr="0062746C" w:rsidRDefault="00EB64CB" w:rsidP="003322D4">
      <w:pPr>
        <w:pStyle w:val="ListParagraph"/>
        <w:numPr>
          <w:ilvl w:val="1"/>
          <w:numId w:val="1"/>
        </w:numPr>
        <w:spacing w:after="0" w:line="240" w:lineRule="auto"/>
      </w:pPr>
      <w:r>
        <w:t>Installing mixers on storage tanks to reduce water age</w:t>
      </w:r>
      <w:r w:rsidR="007E35CD">
        <w:t>.</w:t>
      </w:r>
    </w:p>
    <w:p w14:paraId="7FDF06AF" w14:textId="0C92609C" w:rsidR="003322D4" w:rsidRPr="00D87E30" w:rsidRDefault="00EB64CB" w:rsidP="003322D4">
      <w:pPr>
        <w:pStyle w:val="ListParagraph"/>
        <w:numPr>
          <w:ilvl w:val="1"/>
          <w:numId w:val="1"/>
        </w:numPr>
        <w:spacing w:after="0" w:line="240" w:lineRule="auto"/>
        <w:rPr>
          <w:highlight w:val="yellow"/>
        </w:rPr>
      </w:pPr>
      <w:r>
        <w:rPr>
          <w:highlight w:val="yellow"/>
        </w:rPr>
        <w:t>Flushing dead ends lines once per week</w:t>
      </w:r>
    </w:p>
    <w:p w14:paraId="1C3166D6" w14:textId="69295BBF" w:rsidR="00BD7440" w:rsidRPr="0062746C" w:rsidRDefault="00BD7440" w:rsidP="003322D4">
      <w:pPr>
        <w:pStyle w:val="ListParagraph"/>
        <w:numPr>
          <w:ilvl w:val="1"/>
          <w:numId w:val="1"/>
        </w:numPr>
        <w:spacing w:after="0" w:line="240" w:lineRule="auto"/>
      </w:pPr>
      <w:r>
        <w:t>All of the above</w:t>
      </w:r>
    </w:p>
    <w:p w14:paraId="7CD58B49" w14:textId="77777777" w:rsidR="003322D4" w:rsidRPr="008046DC" w:rsidRDefault="003322D4" w:rsidP="00E917C3">
      <w:pPr>
        <w:spacing w:after="0" w:line="240" w:lineRule="auto"/>
        <w:rPr>
          <w:highlight w:val="cyan"/>
        </w:rPr>
      </w:pPr>
    </w:p>
    <w:p w14:paraId="7E68C6F7" w14:textId="5740DC15" w:rsidR="00906176" w:rsidRPr="00CC304F" w:rsidRDefault="00906176" w:rsidP="003322D4">
      <w:pPr>
        <w:pStyle w:val="ListParagraph"/>
        <w:numPr>
          <w:ilvl w:val="0"/>
          <w:numId w:val="1"/>
        </w:numPr>
        <w:spacing w:after="0" w:line="240" w:lineRule="auto"/>
      </w:pPr>
      <w:r>
        <w:t>Using the data in the table below determine which site exceed</w:t>
      </w:r>
      <w:r w:rsidR="00F21D18">
        <w:t>s</w:t>
      </w:r>
      <w:r>
        <w:t xml:space="preserve"> the Trihalomethane </w:t>
      </w:r>
      <w:r w:rsidR="0014650E">
        <w:t xml:space="preserve">LRAA </w:t>
      </w:r>
      <w:r>
        <w:t>MCL (all results are reported in ug/L)</w:t>
      </w:r>
      <w:r w:rsidR="00314C63">
        <w:t>.</w:t>
      </w:r>
    </w:p>
    <w:tbl>
      <w:tblPr>
        <w:tblStyle w:val="TableGrid"/>
        <w:tblW w:w="0" w:type="auto"/>
        <w:tblInd w:w="360" w:type="dxa"/>
        <w:tblLook w:val="04A0" w:firstRow="1" w:lastRow="0" w:firstColumn="1" w:lastColumn="0" w:noHBand="0" w:noVBand="1"/>
      </w:tblPr>
      <w:tblGrid>
        <w:gridCol w:w="1165"/>
        <w:gridCol w:w="990"/>
        <w:gridCol w:w="990"/>
        <w:gridCol w:w="1080"/>
        <w:gridCol w:w="1170"/>
      </w:tblGrid>
      <w:tr w:rsidR="000D35AD" w14:paraId="695FD032" w14:textId="77777777" w:rsidTr="00FD17F5">
        <w:tc>
          <w:tcPr>
            <w:tcW w:w="1165" w:type="dxa"/>
          </w:tcPr>
          <w:p w14:paraId="5ED17B93" w14:textId="77777777" w:rsidR="00906176" w:rsidRDefault="00906176" w:rsidP="00906176"/>
        </w:tc>
        <w:tc>
          <w:tcPr>
            <w:tcW w:w="990" w:type="dxa"/>
          </w:tcPr>
          <w:p w14:paraId="257EB0E9" w14:textId="38CD8B40" w:rsidR="00906176" w:rsidRPr="000D35AD" w:rsidRDefault="000D35AD" w:rsidP="00906176">
            <w:pPr>
              <w:rPr>
                <w:b/>
                <w:bCs/>
              </w:rPr>
            </w:pPr>
            <w:r w:rsidRPr="000D35AD">
              <w:rPr>
                <w:b/>
                <w:bCs/>
              </w:rPr>
              <w:t>Site A</w:t>
            </w:r>
          </w:p>
        </w:tc>
        <w:tc>
          <w:tcPr>
            <w:tcW w:w="990" w:type="dxa"/>
          </w:tcPr>
          <w:p w14:paraId="0855B3D0" w14:textId="6C684FA5" w:rsidR="00906176" w:rsidRPr="000D35AD" w:rsidRDefault="000D35AD" w:rsidP="00906176">
            <w:pPr>
              <w:rPr>
                <w:b/>
                <w:bCs/>
              </w:rPr>
            </w:pPr>
            <w:r w:rsidRPr="000D35AD">
              <w:rPr>
                <w:b/>
                <w:bCs/>
              </w:rPr>
              <w:t>Site B</w:t>
            </w:r>
          </w:p>
        </w:tc>
        <w:tc>
          <w:tcPr>
            <w:tcW w:w="1080" w:type="dxa"/>
          </w:tcPr>
          <w:p w14:paraId="5ADFEBE2" w14:textId="3CC83F54" w:rsidR="00906176" w:rsidRPr="000D35AD" w:rsidRDefault="000D35AD" w:rsidP="00906176">
            <w:pPr>
              <w:rPr>
                <w:b/>
                <w:bCs/>
              </w:rPr>
            </w:pPr>
            <w:r w:rsidRPr="000D35AD">
              <w:rPr>
                <w:b/>
                <w:bCs/>
              </w:rPr>
              <w:t>Site C</w:t>
            </w:r>
          </w:p>
        </w:tc>
        <w:tc>
          <w:tcPr>
            <w:tcW w:w="1170" w:type="dxa"/>
          </w:tcPr>
          <w:p w14:paraId="5B691537" w14:textId="53AA9B46" w:rsidR="00906176" w:rsidRPr="000D35AD" w:rsidRDefault="000D35AD" w:rsidP="00906176">
            <w:pPr>
              <w:rPr>
                <w:b/>
                <w:bCs/>
              </w:rPr>
            </w:pPr>
            <w:r w:rsidRPr="000D35AD">
              <w:rPr>
                <w:b/>
                <w:bCs/>
              </w:rPr>
              <w:t>Site D</w:t>
            </w:r>
          </w:p>
        </w:tc>
      </w:tr>
      <w:tr w:rsidR="000D35AD" w14:paraId="1ABAE519" w14:textId="77777777" w:rsidTr="00FD17F5">
        <w:tc>
          <w:tcPr>
            <w:tcW w:w="1165" w:type="dxa"/>
          </w:tcPr>
          <w:p w14:paraId="1BC2F99D" w14:textId="6A38A995" w:rsidR="000D35AD" w:rsidRPr="000D35AD" w:rsidRDefault="000D35AD" w:rsidP="00906176">
            <w:pPr>
              <w:rPr>
                <w:b/>
                <w:bCs/>
              </w:rPr>
            </w:pPr>
            <w:r w:rsidRPr="000D35AD">
              <w:rPr>
                <w:b/>
                <w:bCs/>
              </w:rPr>
              <w:t>1</w:t>
            </w:r>
            <w:r w:rsidRPr="000D35AD">
              <w:rPr>
                <w:b/>
                <w:bCs/>
                <w:vertAlign w:val="superscript"/>
              </w:rPr>
              <w:t>st</w:t>
            </w:r>
            <w:r w:rsidRPr="000D35AD">
              <w:rPr>
                <w:b/>
                <w:bCs/>
              </w:rPr>
              <w:t xml:space="preserve"> Qtr</w:t>
            </w:r>
          </w:p>
        </w:tc>
        <w:tc>
          <w:tcPr>
            <w:tcW w:w="990" w:type="dxa"/>
          </w:tcPr>
          <w:p w14:paraId="21EEC1A5" w14:textId="0273D1D5" w:rsidR="00906176" w:rsidRDefault="000D35AD" w:rsidP="00906176">
            <w:r>
              <w:t>77.3</w:t>
            </w:r>
          </w:p>
        </w:tc>
        <w:tc>
          <w:tcPr>
            <w:tcW w:w="990" w:type="dxa"/>
          </w:tcPr>
          <w:p w14:paraId="5F87A6F7" w14:textId="735E4823" w:rsidR="00906176" w:rsidRDefault="000D35AD" w:rsidP="00906176">
            <w:r>
              <w:t>52.7</w:t>
            </w:r>
          </w:p>
        </w:tc>
        <w:tc>
          <w:tcPr>
            <w:tcW w:w="1080" w:type="dxa"/>
          </w:tcPr>
          <w:p w14:paraId="721D2B44" w14:textId="6C7D6CC3" w:rsidR="00906176" w:rsidRDefault="000D35AD" w:rsidP="00906176">
            <w:r>
              <w:t>37.8</w:t>
            </w:r>
          </w:p>
        </w:tc>
        <w:tc>
          <w:tcPr>
            <w:tcW w:w="1170" w:type="dxa"/>
          </w:tcPr>
          <w:p w14:paraId="6411D23A" w14:textId="6B898151" w:rsidR="00906176" w:rsidRDefault="000D35AD" w:rsidP="00906176">
            <w:r>
              <w:t>77.5</w:t>
            </w:r>
          </w:p>
        </w:tc>
      </w:tr>
      <w:tr w:rsidR="000D35AD" w14:paraId="379E5B5E" w14:textId="77777777" w:rsidTr="00FD17F5">
        <w:tc>
          <w:tcPr>
            <w:tcW w:w="1165" w:type="dxa"/>
          </w:tcPr>
          <w:p w14:paraId="0EF3A463" w14:textId="1D8B12A8" w:rsidR="00906176" w:rsidRPr="000D35AD" w:rsidRDefault="000D35AD" w:rsidP="00906176">
            <w:pPr>
              <w:rPr>
                <w:b/>
                <w:bCs/>
              </w:rPr>
            </w:pPr>
            <w:r w:rsidRPr="000D35AD">
              <w:rPr>
                <w:b/>
                <w:bCs/>
              </w:rPr>
              <w:t>2</w:t>
            </w:r>
            <w:r w:rsidRPr="000D35AD">
              <w:rPr>
                <w:b/>
                <w:bCs/>
                <w:vertAlign w:val="superscript"/>
              </w:rPr>
              <w:t>nd</w:t>
            </w:r>
            <w:r w:rsidRPr="000D35AD">
              <w:rPr>
                <w:b/>
                <w:bCs/>
              </w:rPr>
              <w:t xml:space="preserve"> Qtr</w:t>
            </w:r>
          </w:p>
        </w:tc>
        <w:tc>
          <w:tcPr>
            <w:tcW w:w="990" w:type="dxa"/>
          </w:tcPr>
          <w:p w14:paraId="33F61533" w14:textId="400A482C" w:rsidR="00906176" w:rsidRDefault="000D35AD" w:rsidP="00906176">
            <w:r>
              <w:t>22.1</w:t>
            </w:r>
          </w:p>
        </w:tc>
        <w:tc>
          <w:tcPr>
            <w:tcW w:w="990" w:type="dxa"/>
          </w:tcPr>
          <w:p w14:paraId="029817F4" w14:textId="069697D1" w:rsidR="00906176" w:rsidRDefault="000D35AD" w:rsidP="00906176">
            <w:r>
              <w:t>88.2</w:t>
            </w:r>
          </w:p>
        </w:tc>
        <w:tc>
          <w:tcPr>
            <w:tcW w:w="1080" w:type="dxa"/>
          </w:tcPr>
          <w:p w14:paraId="1FDB97A0" w14:textId="79A77194" w:rsidR="00906176" w:rsidRDefault="000D35AD" w:rsidP="00906176">
            <w:r>
              <w:t>47.1</w:t>
            </w:r>
          </w:p>
        </w:tc>
        <w:tc>
          <w:tcPr>
            <w:tcW w:w="1170" w:type="dxa"/>
          </w:tcPr>
          <w:p w14:paraId="4654A081" w14:textId="55D8653E" w:rsidR="00906176" w:rsidRDefault="000D35AD" w:rsidP="00906176">
            <w:r>
              <w:t>86.5</w:t>
            </w:r>
          </w:p>
        </w:tc>
      </w:tr>
      <w:tr w:rsidR="000D35AD" w14:paraId="4E71D1ED" w14:textId="77777777" w:rsidTr="00FD17F5">
        <w:tc>
          <w:tcPr>
            <w:tcW w:w="1165" w:type="dxa"/>
          </w:tcPr>
          <w:p w14:paraId="5123EB35" w14:textId="53CF0B2A" w:rsidR="00906176" w:rsidRPr="000D35AD" w:rsidRDefault="000D35AD" w:rsidP="00906176">
            <w:pPr>
              <w:rPr>
                <w:b/>
                <w:bCs/>
              </w:rPr>
            </w:pPr>
            <w:r w:rsidRPr="000D35AD">
              <w:rPr>
                <w:b/>
                <w:bCs/>
              </w:rPr>
              <w:t>3</w:t>
            </w:r>
            <w:r w:rsidRPr="000D35AD">
              <w:rPr>
                <w:b/>
                <w:bCs/>
                <w:vertAlign w:val="superscript"/>
              </w:rPr>
              <w:t>rd</w:t>
            </w:r>
            <w:r w:rsidRPr="000D35AD">
              <w:rPr>
                <w:b/>
                <w:bCs/>
              </w:rPr>
              <w:t xml:space="preserve"> Qtr</w:t>
            </w:r>
          </w:p>
        </w:tc>
        <w:tc>
          <w:tcPr>
            <w:tcW w:w="990" w:type="dxa"/>
          </w:tcPr>
          <w:p w14:paraId="6A0323B9" w14:textId="380798E0" w:rsidR="00906176" w:rsidRDefault="000D35AD" w:rsidP="00906176">
            <w:r>
              <w:t>119.3</w:t>
            </w:r>
          </w:p>
        </w:tc>
        <w:tc>
          <w:tcPr>
            <w:tcW w:w="990" w:type="dxa"/>
          </w:tcPr>
          <w:p w14:paraId="157E5763" w14:textId="16C95186" w:rsidR="00906176" w:rsidRDefault="000D35AD" w:rsidP="00906176">
            <w:r>
              <w:t>78.4</w:t>
            </w:r>
          </w:p>
        </w:tc>
        <w:tc>
          <w:tcPr>
            <w:tcW w:w="1080" w:type="dxa"/>
          </w:tcPr>
          <w:p w14:paraId="2AEB2903" w14:textId="0418C665" w:rsidR="00906176" w:rsidRDefault="000D35AD" w:rsidP="00906176">
            <w:r>
              <w:t>90.0</w:t>
            </w:r>
          </w:p>
        </w:tc>
        <w:tc>
          <w:tcPr>
            <w:tcW w:w="1170" w:type="dxa"/>
          </w:tcPr>
          <w:p w14:paraId="1A912CD6" w14:textId="7685BC3A" w:rsidR="00906176" w:rsidRDefault="00664406" w:rsidP="00906176">
            <w:r>
              <w:t>87.5</w:t>
            </w:r>
          </w:p>
        </w:tc>
      </w:tr>
      <w:tr w:rsidR="000D35AD" w14:paraId="7B1D88E5" w14:textId="77777777" w:rsidTr="00FD17F5">
        <w:tc>
          <w:tcPr>
            <w:tcW w:w="1165" w:type="dxa"/>
          </w:tcPr>
          <w:p w14:paraId="7F8F562C" w14:textId="502D1AE6" w:rsidR="00906176" w:rsidRPr="000D35AD" w:rsidRDefault="000D35AD" w:rsidP="00906176">
            <w:pPr>
              <w:rPr>
                <w:b/>
                <w:bCs/>
              </w:rPr>
            </w:pPr>
            <w:r w:rsidRPr="000D35AD">
              <w:rPr>
                <w:b/>
                <w:bCs/>
              </w:rPr>
              <w:t>4</w:t>
            </w:r>
            <w:r w:rsidRPr="000D35AD">
              <w:rPr>
                <w:b/>
                <w:bCs/>
                <w:vertAlign w:val="superscript"/>
              </w:rPr>
              <w:t>th</w:t>
            </w:r>
            <w:r w:rsidRPr="000D35AD">
              <w:rPr>
                <w:b/>
                <w:bCs/>
              </w:rPr>
              <w:t xml:space="preserve"> Qtr</w:t>
            </w:r>
          </w:p>
        </w:tc>
        <w:tc>
          <w:tcPr>
            <w:tcW w:w="990" w:type="dxa"/>
          </w:tcPr>
          <w:p w14:paraId="38E9D776" w14:textId="16682CFE" w:rsidR="00906176" w:rsidRDefault="000D35AD" w:rsidP="00906176">
            <w:r>
              <w:t>100.8</w:t>
            </w:r>
          </w:p>
        </w:tc>
        <w:tc>
          <w:tcPr>
            <w:tcW w:w="990" w:type="dxa"/>
          </w:tcPr>
          <w:p w14:paraId="7DFB9EE8" w14:textId="5EEE228B" w:rsidR="00906176" w:rsidRDefault="000D35AD" w:rsidP="00906176">
            <w:r>
              <w:t>73.2</w:t>
            </w:r>
          </w:p>
        </w:tc>
        <w:tc>
          <w:tcPr>
            <w:tcW w:w="1080" w:type="dxa"/>
          </w:tcPr>
          <w:p w14:paraId="390C30B4" w14:textId="26814F56" w:rsidR="00906176" w:rsidRDefault="000D35AD" w:rsidP="00906176">
            <w:r>
              <w:t>99.7</w:t>
            </w:r>
          </w:p>
        </w:tc>
        <w:tc>
          <w:tcPr>
            <w:tcW w:w="1170" w:type="dxa"/>
          </w:tcPr>
          <w:p w14:paraId="23B53E23" w14:textId="50B5DCAE" w:rsidR="00906176" w:rsidRDefault="00664406" w:rsidP="00906176">
            <w:r>
              <w:t>88.7</w:t>
            </w:r>
          </w:p>
        </w:tc>
      </w:tr>
    </w:tbl>
    <w:p w14:paraId="24519AB5" w14:textId="1944C5E6" w:rsidR="003322D4" w:rsidRPr="00CC304F" w:rsidRDefault="003322D4" w:rsidP="00664406">
      <w:pPr>
        <w:spacing w:after="0" w:line="240" w:lineRule="auto"/>
      </w:pPr>
    </w:p>
    <w:p w14:paraId="70F4867D" w14:textId="20B6DA01" w:rsidR="003322D4" w:rsidRPr="00664406" w:rsidRDefault="00664406" w:rsidP="003322D4">
      <w:pPr>
        <w:pStyle w:val="ListParagraph"/>
        <w:numPr>
          <w:ilvl w:val="1"/>
          <w:numId w:val="1"/>
        </w:numPr>
        <w:spacing w:after="0" w:line="240" w:lineRule="auto"/>
      </w:pPr>
      <w:r w:rsidRPr="00664406">
        <w:t>Site A</w:t>
      </w:r>
    </w:p>
    <w:p w14:paraId="041C4BAA" w14:textId="3807B284" w:rsidR="00DE0B21" w:rsidRPr="00664406" w:rsidRDefault="00664406" w:rsidP="003322D4">
      <w:pPr>
        <w:pStyle w:val="ListParagraph"/>
        <w:numPr>
          <w:ilvl w:val="1"/>
          <w:numId w:val="1"/>
        </w:numPr>
        <w:spacing w:after="0" w:line="240" w:lineRule="auto"/>
      </w:pPr>
      <w:r w:rsidRPr="00664406">
        <w:t>Site B</w:t>
      </w:r>
    </w:p>
    <w:p w14:paraId="7C77EB0E" w14:textId="42596DBA" w:rsidR="00DE0B21" w:rsidRPr="00664406" w:rsidRDefault="00664406" w:rsidP="003322D4">
      <w:pPr>
        <w:pStyle w:val="ListParagraph"/>
        <w:numPr>
          <w:ilvl w:val="1"/>
          <w:numId w:val="1"/>
        </w:numPr>
        <w:spacing w:after="0" w:line="240" w:lineRule="auto"/>
      </w:pPr>
      <w:r w:rsidRPr="00664406">
        <w:t>Site C</w:t>
      </w:r>
    </w:p>
    <w:p w14:paraId="4F1C5956" w14:textId="30CB16E1" w:rsidR="000F476E" w:rsidRPr="00664406" w:rsidRDefault="00664406" w:rsidP="00DE0B21">
      <w:pPr>
        <w:pStyle w:val="ListParagraph"/>
        <w:numPr>
          <w:ilvl w:val="1"/>
          <w:numId w:val="1"/>
        </w:numPr>
        <w:spacing w:after="0" w:line="240" w:lineRule="auto"/>
      </w:pPr>
      <w:r w:rsidRPr="00664406">
        <w:rPr>
          <w:highlight w:val="yellow"/>
        </w:rPr>
        <w:t>Site D</w:t>
      </w:r>
      <w:r w:rsidR="00CC304F" w:rsidRPr="00664406">
        <w:br/>
      </w:r>
    </w:p>
    <w:p w14:paraId="5F7C8AC9" w14:textId="631B1243" w:rsidR="006275BD" w:rsidRDefault="00CC304F" w:rsidP="00CC304F">
      <w:pPr>
        <w:spacing w:after="0" w:line="240" w:lineRule="auto"/>
        <w:rPr>
          <w:rFonts w:ascii="Tahoma" w:hAnsi="Tahoma" w:cs="Tahoma"/>
          <w:i/>
          <w:iCs/>
        </w:rPr>
      </w:pPr>
      <w:r w:rsidRPr="006275BD">
        <w:rPr>
          <w:rFonts w:ascii="Tahoma" w:hAnsi="Tahoma" w:cs="Tahoma"/>
          <w:i/>
          <w:iCs/>
          <w:u w:val="single"/>
        </w:rPr>
        <w:t>Solution:</w:t>
      </w:r>
    </w:p>
    <w:p w14:paraId="6A43D752" w14:textId="05A5ED95" w:rsidR="0079621B" w:rsidRDefault="00664406" w:rsidP="00CC304F">
      <w:pPr>
        <w:spacing w:after="0" w:line="240" w:lineRule="auto"/>
        <w:rPr>
          <w:rFonts w:ascii="Tahoma" w:hAnsi="Tahoma" w:cs="Tahoma"/>
          <w:i/>
          <w:iCs/>
        </w:rPr>
      </w:pPr>
      <w:r>
        <w:rPr>
          <w:rFonts w:ascii="Tahoma" w:hAnsi="Tahoma" w:cs="Tahoma"/>
          <w:i/>
          <w:iCs/>
        </w:rPr>
        <w:t>MCL = 80.0 ug/L</w:t>
      </w:r>
    </w:p>
    <w:p w14:paraId="3566B287" w14:textId="53074DE7" w:rsidR="00D31AB3" w:rsidRDefault="00664406" w:rsidP="00664406">
      <w:pPr>
        <w:spacing w:after="0" w:line="240" w:lineRule="auto"/>
        <w:rPr>
          <w:rFonts w:ascii="Tahoma" w:hAnsi="Tahoma" w:cs="Tahoma"/>
          <w:i/>
          <w:iCs/>
        </w:rPr>
      </w:pPr>
      <w:r>
        <w:rPr>
          <w:rFonts w:ascii="Tahoma" w:hAnsi="Tahoma" w:cs="Tahoma"/>
          <w:i/>
          <w:iCs/>
        </w:rPr>
        <w:t xml:space="preserve">Averages: Site A = 79.87, Site B = 73.13, Site C = 68.65, </w:t>
      </w:r>
      <w:r w:rsidRPr="00664406">
        <w:rPr>
          <w:rFonts w:ascii="Tahoma" w:hAnsi="Tahoma" w:cs="Tahoma"/>
          <w:i/>
          <w:iCs/>
          <w:highlight w:val="yellow"/>
        </w:rPr>
        <w:t>Site D = 85.05</w:t>
      </w:r>
    </w:p>
    <w:sectPr w:rsidR="00D31A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9256E"/>
    <w:multiLevelType w:val="hybridMultilevel"/>
    <w:tmpl w:val="392A5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57310C"/>
    <w:multiLevelType w:val="hybridMultilevel"/>
    <w:tmpl w:val="CA72E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49202C"/>
    <w:multiLevelType w:val="hybridMultilevel"/>
    <w:tmpl w:val="E654D1E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9377742">
    <w:abstractNumId w:val="2"/>
  </w:num>
  <w:num w:numId="2" w16cid:durableId="66653261">
    <w:abstractNumId w:val="0"/>
  </w:num>
  <w:num w:numId="3" w16cid:durableId="7070239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290"/>
    <w:rsid w:val="00001115"/>
    <w:rsid w:val="000378AE"/>
    <w:rsid w:val="0007054B"/>
    <w:rsid w:val="000A45F2"/>
    <w:rsid w:val="000B2B60"/>
    <w:rsid w:val="000D35AD"/>
    <w:rsid w:val="000D3611"/>
    <w:rsid w:val="000F476E"/>
    <w:rsid w:val="001250D2"/>
    <w:rsid w:val="0014650E"/>
    <w:rsid w:val="0016281B"/>
    <w:rsid w:val="001644B2"/>
    <w:rsid w:val="001A71C2"/>
    <w:rsid w:val="001B4A60"/>
    <w:rsid w:val="00230BD3"/>
    <w:rsid w:val="00243B4E"/>
    <w:rsid w:val="00263383"/>
    <w:rsid w:val="002D3B4A"/>
    <w:rsid w:val="002D6DD8"/>
    <w:rsid w:val="002F16DE"/>
    <w:rsid w:val="00302357"/>
    <w:rsid w:val="00310673"/>
    <w:rsid w:val="00314C63"/>
    <w:rsid w:val="00331B3B"/>
    <w:rsid w:val="003322D4"/>
    <w:rsid w:val="00347CE0"/>
    <w:rsid w:val="003957C6"/>
    <w:rsid w:val="003C4876"/>
    <w:rsid w:val="00402F42"/>
    <w:rsid w:val="004316C0"/>
    <w:rsid w:val="00445A30"/>
    <w:rsid w:val="00464149"/>
    <w:rsid w:val="004D0EAD"/>
    <w:rsid w:val="00502787"/>
    <w:rsid w:val="00514494"/>
    <w:rsid w:val="005448D7"/>
    <w:rsid w:val="00550D7F"/>
    <w:rsid w:val="00567EC4"/>
    <w:rsid w:val="00580943"/>
    <w:rsid w:val="005B29CF"/>
    <w:rsid w:val="005B6806"/>
    <w:rsid w:val="00605005"/>
    <w:rsid w:val="00605903"/>
    <w:rsid w:val="0062746C"/>
    <w:rsid w:val="006275BD"/>
    <w:rsid w:val="0063170B"/>
    <w:rsid w:val="006412BE"/>
    <w:rsid w:val="00664406"/>
    <w:rsid w:val="0071024B"/>
    <w:rsid w:val="00742947"/>
    <w:rsid w:val="00753E2F"/>
    <w:rsid w:val="007646C7"/>
    <w:rsid w:val="00780290"/>
    <w:rsid w:val="00790037"/>
    <w:rsid w:val="00791C7F"/>
    <w:rsid w:val="0079621B"/>
    <w:rsid w:val="007B1E44"/>
    <w:rsid w:val="007E35CD"/>
    <w:rsid w:val="007E6FB9"/>
    <w:rsid w:val="008046DC"/>
    <w:rsid w:val="00813BAD"/>
    <w:rsid w:val="00822B44"/>
    <w:rsid w:val="008576D0"/>
    <w:rsid w:val="008826A2"/>
    <w:rsid w:val="008A2288"/>
    <w:rsid w:val="008E69AE"/>
    <w:rsid w:val="00906176"/>
    <w:rsid w:val="009073E5"/>
    <w:rsid w:val="00910590"/>
    <w:rsid w:val="00921A3B"/>
    <w:rsid w:val="009B3293"/>
    <w:rsid w:val="009B4E03"/>
    <w:rsid w:val="00A03163"/>
    <w:rsid w:val="00A068F1"/>
    <w:rsid w:val="00A6434E"/>
    <w:rsid w:val="00AC7C06"/>
    <w:rsid w:val="00AF3609"/>
    <w:rsid w:val="00B045E9"/>
    <w:rsid w:val="00B22109"/>
    <w:rsid w:val="00B34AB3"/>
    <w:rsid w:val="00B57AF9"/>
    <w:rsid w:val="00B722C4"/>
    <w:rsid w:val="00B8130C"/>
    <w:rsid w:val="00BB7650"/>
    <w:rsid w:val="00BD7440"/>
    <w:rsid w:val="00BE7C67"/>
    <w:rsid w:val="00C0271D"/>
    <w:rsid w:val="00C02D9C"/>
    <w:rsid w:val="00C21C8B"/>
    <w:rsid w:val="00C236FD"/>
    <w:rsid w:val="00C31938"/>
    <w:rsid w:val="00C4296D"/>
    <w:rsid w:val="00C5283A"/>
    <w:rsid w:val="00CA1ACE"/>
    <w:rsid w:val="00CC304F"/>
    <w:rsid w:val="00D002AF"/>
    <w:rsid w:val="00D31AB3"/>
    <w:rsid w:val="00D355F8"/>
    <w:rsid w:val="00D50897"/>
    <w:rsid w:val="00D844A1"/>
    <w:rsid w:val="00D879FA"/>
    <w:rsid w:val="00D87E30"/>
    <w:rsid w:val="00DE0B21"/>
    <w:rsid w:val="00E10CC5"/>
    <w:rsid w:val="00E66F4A"/>
    <w:rsid w:val="00E75BF9"/>
    <w:rsid w:val="00E917C3"/>
    <w:rsid w:val="00EA4AC4"/>
    <w:rsid w:val="00EB64CB"/>
    <w:rsid w:val="00ED5962"/>
    <w:rsid w:val="00F172FF"/>
    <w:rsid w:val="00F21D18"/>
    <w:rsid w:val="00F56261"/>
    <w:rsid w:val="00F61F94"/>
    <w:rsid w:val="00F633FF"/>
    <w:rsid w:val="00F65D0B"/>
    <w:rsid w:val="00FD1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2B258"/>
  <w15:chartTrackingRefBased/>
  <w15:docId w15:val="{8B62EEF2-26B0-4433-9CDF-291D2EFC9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2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0290"/>
    <w:rPr>
      <w:color w:val="0563C1" w:themeColor="hyperlink"/>
      <w:u w:val="single"/>
    </w:rPr>
  </w:style>
  <w:style w:type="paragraph" w:styleId="ListParagraph">
    <w:name w:val="List Paragraph"/>
    <w:basedOn w:val="Normal"/>
    <w:uiPriority w:val="34"/>
    <w:qFormat/>
    <w:rsid w:val="003322D4"/>
    <w:pPr>
      <w:ind w:left="720"/>
      <w:contextualSpacing/>
    </w:pPr>
  </w:style>
  <w:style w:type="character" w:styleId="UnresolvedMention">
    <w:name w:val="Unresolved Mention"/>
    <w:basedOn w:val="DefaultParagraphFont"/>
    <w:uiPriority w:val="99"/>
    <w:semiHidden/>
    <w:unhideWhenUsed/>
    <w:rsid w:val="00C236FD"/>
    <w:rPr>
      <w:color w:val="605E5C"/>
      <w:shd w:val="clear" w:color="auto" w:fill="E1DFDD"/>
    </w:rPr>
  </w:style>
  <w:style w:type="character" w:styleId="FollowedHyperlink">
    <w:name w:val="FollowedHyperlink"/>
    <w:basedOn w:val="DefaultParagraphFont"/>
    <w:uiPriority w:val="99"/>
    <w:semiHidden/>
    <w:unhideWhenUsed/>
    <w:rsid w:val="00B045E9"/>
    <w:rPr>
      <w:color w:val="954F72" w:themeColor="followedHyperlink"/>
      <w:u w:val="single"/>
    </w:rPr>
  </w:style>
  <w:style w:type="table" w:styleId="TableGrid">
    <w:name w:val="Table Grid"/>
    <w:basedOn w:val="TableNormal"/>
    <w:uiPriority w:val="39"/>
    <w:rsid w:val="009061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ateroperator.org/blog/featured-video-disinfection-byproducts-in-tap-water-5-things-to-know" TargetMode="External"/><Relationship Id="rId11" Type="http://schemas.openxmlformats.org/officeDocument/2006/relationships/customXml" Target="../customXml/item3.xml"/><Relationship Id="rId5" Type="http://schemas.openxmlformats.org/officeDocument/2006/relationships/hyperlink" Target="mailto:dlaprade@masswaterworks.org"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465B4BCBC4014EA6783D59C516FBE4" ma:contentTypeVersion="17" ma:contentTypeDescription="Create a new document." ma:contentTypeScope="" ma:versionID="61c8462b8b7eff3d6b8679edd23543a5">
  <xsd:schema xmlns:xsd="http://www.w3.org/2001/XMLSchema" xmlns:xs="http://www.w3.org/2001/XMLSchema" xmlns:p="http://schemas.microsoft.com/office/2006/metadata/properties" xmlns:ns2="da78d70a-8ab8-4e3f-b49f-2c9e5d638470" xmlns:ns3="275fa77f-b1e9-4f38-a1ee-2943dacf2332" targetNamespace="http://schemas.microsoft.com/office/2006/metadata/properties" ma:root="true" ma:fieldsID="254a55eed4f802b0f19d1a8c6e3a9576" ns2:_="" ns3:_="">
    <xsd:import namespace="da78d70a-8ab8-4e3f-b49f-2c9e5d638470"/>
    <xsd:import namespace="275fa77f-b1e9-4f38-a1ee-2943dacf233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8d70a-8ab8-4e3f-b49f-2c9e5d63847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4431930-d8ea-4163-b506-ddbb628e039b"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5fa77f-b1e9-4f38-a1ee-2943dacf233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733fb58-15fa-41f7-a987-50165fa5c8f3}" ma:internalName="TaxCatchAll" ma:showField="CatchAllData" ma:web="275fa77f-b1e9-4f38-a1ee-2943dacf2332">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a78d70a-8ab8-4e3f-b49f-2c9e5d638470">
      <Terms xmlns="http://schemas.microsoft.com/office/infopath/2007/PartnerControls"/>
    </lcf76f155ced4ddcb4097134ff3c332f>
    <TaxCatchAll xmlns="275fa77f-b1e9-4f38-a1ee-2943dacf2332" xsi:nil="true"/>
  </documentManagement>
</p:properties>
</file>

<file path=customXml/itemProps1.xml><?xml version="1.0" encoding="utf-8"?>
<ds:datastoreItem xmlns:ds="http://schemas.openxmlformats.org/officeDocument/2006/customXml" ds:itemID="{55DC90BF-E7C3-4482-A803-65732F8BBEC7}"/>
</file>

<file path=customXml/itemProps2.xml><?xml version="1.0" encoding="utf-8"?>
<ds:datastoreItem xmlns:ds="http://schemas.openxmlformats.org/officeDocument/2006/customXml" ds:itemID="{5F0FE505-07E2-4A4C-9159-FD6C16DF66A1}"/>
</file>

<file path=customXml/itemProps3.xml><?xml version="1.0" encoding="utf-8"?>
<ds:datastoreItem xmlns:ds="http://schemas.openxmlformats.org/officeDocument/2006/customXml" ds:itemID="{37253993-1A05-4EF7-AD8F-3A70B1E26699}"/>
</file>

<file path=docProps/app.xml><?xml version="1.0" encoding="utf-8"?>
<Properties xmlns="http://schemas.openxmlformats.org/officeDocument/2006/extended-properties" xmlns:vt="http://schemas.openxmlformats.org/officeDocument/2006/docPropsVTypes">
  <Template>Normal.dotm</Template>
  <TotalTime>683</TotalTime>
  <Pages>2</Pages>
  <Words>669</Words>
  <Characters>3816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Laprade</dc:creator>
  <cp:keywords/>
  <dc:description/>
  <cp:lastModifiedBy>Dan Laprade</cp:lastModifiedBy>
  <cp:revision>40</cp:revision>
  <dcterms:created xsi:type="dcterms:W3CDTF">2023-06-30T17:37:00Z</dcterms:created>
  <dcterms:modified xsi:type="dcterms:W3CDTF">2023-11-17T17:32:00Z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0x010100A9465B4BCBC4014EA6783D59C516FBE4</vt:lpwstr>
  </property>
</Properties>
</file>